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C4" w:rsidRPr="004617C4" w:rsidRDefault="004617C4" w:rsidP="004617C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617C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2013 год - тарифы на электрическую энергию для населения Курской области</w:t>
      </w:r>
    </w:p>
    <w:p w:rsidR="004617C4" w:rsidRPr="004617C4" w:rsidRDefault="004617C4" w:rsidP="004617C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Новые тарифы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 электрическую энергию для населе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ния Курской области, действующие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 1 января 2013 года</w:t>
      </w:r>
    </w:p>
    <w:tbl>
      <w:tblPr>
        <w:tblW w:w="13600" w:type="dxa"/>
        <w:tblBorders>
          <w:top w:val="single" w:sz="2" w:space="0" w:color="D0D0D0"/>
          <w:left w:val="single" w:sz="2" w:space="0" w:color="D0D0D0"/>
          <w:bottom w:val="single" w:sz="8" w:space="0" w:color="D0D0D0"/>
          <w:right w:val="single" w:sz="8" w:space="0" w:color="D0D0D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0"/>
        <w:gridCol w:w="8370"/>
        <w:gridCol w:w="2734"/>
        <w:gridCol w:w="1986"/>
      </w:tblGrid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EEEEEE"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№ </w:t>
            </w: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EEEEEE"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Показатель (группы потребителей  </w:t>
            </w: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с разбивкой тарифа по ставкам </w:t>
            </w: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и дифференциацией по зонам суток)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EEEEEE"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Единица </w:t>
            </w: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EEEEEE"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Цена </w:t>
            </w: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(тариф)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Население, за исключением </w:t>
            </w:r>
            <w:proofErr w:type="gramStart"/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указанного</w:t>
            </w:r>
            <w:proofErr w:type="gramEnd"/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в пунктах 1.2 и 1.3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тариф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2,72</w:t>
            </w:r>
          </w:p>
        </w:tc>
      </w:tr>
      <w:tr w:rsidR="004617C4" w:rsidRPr="004617C4" w:rsidTr="004617C4">
        <w:tc>
          <w:tcPr>
            <w:tcW w:w="0" w:type="auto"/>
            <w:vMerge w:val="restart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Тариф, дифференцированный по двум зонам суток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Дневная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2,73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Ночная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2,01</w:t>
            </w:r>
          </w:p>
        </w:tc>
      </w:tr>
      <w:tr w:rsidR="004617C4" w:rsidRPr="004617C4" w:rsidTr="004617C4">
        <w:tc>
          <w:tcPr>
            <w:tcW w:w="0" w:type="auto"/>
            <w:vMerge w:val="restart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Тариф, дифференцированный по трем зонам суток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Пиковая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2,75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Полупиковая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2,72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Ночная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2,01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Население,  проживающее в городских населенных пунктах в домах, оборудованных в установленном порядке стационарными электроплитами и (или) электроотопительными установками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тариф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1,90</w:t>
            </w:r>
          </w:p>
        </w:tc>
      </w:tr>
      <w:tr w:rsidR="004617C4" w:rsidRPr="004617C4" w:rsidTr="004617C4">
        <w:tc>
          <w:tcPr>
            <w:tcW w:w="0" w:type="auto"/>
            <w:vMerge w:val="restart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Тариф, дифференцированный по двум зонам суток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Дневная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1,91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Ночная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1,42</w:t>
            </w:r>
          </w:p>
        </w:tc>
      </w:tr>
      <w:tr w:rsidR="004617C4" w:rsidRPr="004617C4" w:rsidTr="004617C4">
        <w:tc>
          <w:tcPr>
            <w:tcW w:w="0" w:type="auto"/>
            <w:vMerge w:val="restart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Тариф, дифференцированный по трем зонам суток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Пиковая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1,92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Полупиковая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1,90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Ночная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1,42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Население, проживающее в сельских населенных пунктах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1.3.1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тариф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1,90</w:t>
            </w:r>
          </w:p>
        </w:tc>
      </w:tr>
      <w:tr w:rsidR="004617C4" w:rsidRPr="004617C4" w:rsidTr="004617C4">
        <w:tc>
          <w:tcPr>
            <w:tcW w:w="0" w:type="auto"/>
            <w:vMerge w:val="restart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Тариф, дифференцированный по двум зонам суток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Дневная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1,91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Ночная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1,42</w:t>
            </w:r>
          </w:p>
        </w:tc>
      </w:tr>
      <w:tr w:rsidR="004617C4" w:rsidRPr="004617C4" w:rsidTr="004617C4">
        <w:tc>
          <w:tcPr>
            <w:tcW w:w="0" w:type="auto"/>
            <w:vMerge w:val="restart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Тариф, дифференцированный по трем зонам суток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Пиковая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1,92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Полупиковая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1,90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Ночная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1,42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Потребители, приравненные к населению, согласно пункту 2 Примечания (тарифы указываются с НДС)</w:t>
            </w:r>
          </w:p>
        </w:tc>
      </w:tr>
      <w:tr w:rsidR="004617C4" w:rsidRPr="004617C4" w:rsidTr="004617C4"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тариф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2,72</w:t>
            </w:r>
          </w:p>
        </w:tc>
      </w:tr>
      <w:tr w:rsidR="004617C4" w:rsidRPr="004617C4" w:rsidTr="004617C4">
        <w:tc>
          <w:tcPr>
            <w:tcW w:w="0" w:type="auto"/>
            <w:vMerge w:val="restart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Тариф, дифференцированный по двум зонам суток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Дневная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2,73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Ночная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2,01</w:t>
            </w:r>
          </w:p>
        </w:tc>
      </w:tr>
      <w:tr w:rsidR="004617C4" w:rsidRPr="004617C4" w:rsidTr="004617C4">
        <w:tc>
          <w:tcPr>
            <w:tcW w:w="0" w:type="auto"/>
            <w:vMerge w:val="restart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gridSpan w:val="3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Тариф, дифференцированный по трем зонам суток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Пиковая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2,75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Полупиковая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2,72</w:t>
            </w:r>
          </w:p>
        </w:tc>
      </w:tr>
      <w:tr w:rsidR="004617C4" w:rsidRPr="004617C4" w:rsidTr="004617C4">
        <w:tc>
          <w:tcPr>
            <w:tcW w:w="0" w:type="auto"/>
            <w:vMerge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vAlign w:val="center"/>
            <w:hideMark/>
          </w:tcPr>
          <w:p w:rsidR="004617C4" w:rsidRPr="004617C4" w:rsidRDefault="004617C4" w:rsidP="004617C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Ночная зона</w:t>
            </w:r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руб./</w:t>
            </w:r>
            <w:proofErr w:type="spell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кВт</w:t>
            </w:r>
            <w:proofErr w:type="gramStart"/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D0D0D0"/>
              <w:left w:val="single" w:sz="8" w:space="0" w:color="D0D0D0"/>
              <w:bottom w:val="single" w:sz="8" w:space="0" w:color="D0D0D0"/>
              <w:right w:val="single" w:sz="2" w:space="0" w:color="D0D0D0"/>
            </w:tcBorders>
            <w:shd w:val="clear" w:color="auto" w:fill="F8F8F8"/>
            <w:hideMark/>
          </w:tcPr>
          <w:p w:rsidR="004617C4" w:rsidRPr="004617C4" w:rsidRDefault="004617C4" w:rsidP="004617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617C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2,01</w:t>
            </w:r>
          </w:p>
        </w:tc>
      </w:tr>
    </w:tbl>
    <w:p w:rsidR="004617C4" w:rsidRPr="004617C4" w:rsidRDefault="004617C4" w:rsidP="004617C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4617C4" w:rsidRPr="004617C4" w:rsidRDefault="004617C4" w:rsidP="004617C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4617C4" w:rsidRPr="004617C4" w:rsidRDefault="004617C4" w:rsidP="004617C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4617C4" w:rsidRPr="004617C4" w:rsidRDefault="004617C4" w:rsidP="004617C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4617C4" w:rsidRDefault="004617C4" w:rsidP="004617C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4617C4" w:rsidRDefault="004617C4" w:rsidP="004617C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4617C4" w:rsidRPr="004617C4" w:rsidRDefault="004617C4" w:rsidP="004617C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617C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lastRenderedPageBreak/>
        <w:t>Примечание: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1. К группе «Население» относятся граждане, использующие электроэнергию на коммунально-бытовые нужды, а также приравненные к населению категории потребителей, которым электрическая энергия (мощность) поставляется по регулируемым ценам (тарифам).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 xml:space="preserve">2. 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 потребителям, приравненным к населению, проживающему в городских населенных пунктах, относятся: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 xml:space="preserve">- 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</w:t>
      </w:r>
      <w:proofErr w:type="spell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наймодатели</w:t>
      </w:r>
      <w:proofErr w:type="spell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(или уполномоченные ими лица), предоставляющие гражданам жилые помещения специализированного жилищного фонда: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поселения вынужденных переселенцев, для временного поселения лиц, признанных беженцами, жилые помещения для социальной защиты отдельных категорий граждан, приобретающие электрическую энергию (мощность) для коммунально-бытового потребления населения в объемах фактического потребления населения и объемах электроэнергии, израсходованной на места общего пользования в целях потребления на коммунально-бытовые нужды граждан и не используемого для осуществления коммерческой (профессиональной) деятельности;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 xml:space="preserve">- 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садоводческие, огороднические или дачные некоммерческие объединения граждан - некоммерческие организации, учрежденные гражданами на добровольных началах для содействия ее членам в решении общих социально-хозяйственных задач ведения садоводства, огородничества и дачного хозяйства;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- юридические лица, в части приобретения объема электрической энергии (мощности) в целях потребления осужденными в помещениях для их содержания, при условии наличия раздельного учета для указанных помещений;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- юридические и физические лица, в части приобретаемого объема электрической энергии (мощности) в целях потребления на коммунально-бытовые нужды в населенных пунктах, жилых зонах при воинских частях, рассчитывающихся по договору энергоснабжения (купли-продажи) по общему счетчику;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- содержащиеся за счет прихожан религиозные организации;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 xml:space="preserve">- 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гарантирующие поставщики, </w:t>
      </w:r>
      <w:proofErr w:type="spell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энергосбытовые</w:t>
      </w:r>
      <w:proofErr w:type="spell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энергоснабжающие</w:t>
      </w:r>
      <w:proofErr w:type="spell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организации, приобретающие электрическую энергию (мощность) в целях дальнейшей продажи населению и приравненным к нему категориям потребителей, в объемах фактического потребления населения и приравненных к нему категорий потребителей, и объемах электроэнергии, израсходованной на места общего пользования в целях потребления на коммунально-бытовые нужды граждан и не используемого для осуществления коммерческой (профессиональной) деятельности;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- хозяйственные постройки физических лиц (погреба, сараи и иные сооружения аналогичного назначения)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 xml:space="preserve">- 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екоммерческие объединения граждан (гаражно-строительные, гаражные кооперативы) и отдельно стоящие гаражи, принадлежащие гражданам, в части приобретаемого объема электрической энергии в целях потребления на коммунально-бытовые нужды граждан и не используемого для осуществления коммерческой деятельности;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 xml:space="preserve">3. 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 потребителям, приравненным к населению, проживающему в сельских населенных пунктах, относятся: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 xml:space="preserve">- исполнители коммунальных услуг (товарищества собственников жилья, жилищно-строительные, жилищные или иные 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 xml:space="preserve">специализированные потребительские кооперативы либо управляющие организации), </w:t>
      </w:r>
      <w:proofErr w:type="spell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наймодатели</w:t>
      </w:r>
      <w:proofErr w:type="spell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(или уполномоченные ими лица), предоставляющие гражданам жилые помещения специализированного жилищного фонда: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поселения вынужденных переселенцев, для временного поселения лиц, признанных беженцами, жилые помещения для социальной защиты отдельных категорий граждан, приобретающие электрическую энергию (мощность) для коммунально-бытового потребления населения в объемах фактического потребления населения и объемах электроэнергии, израсходованной на места общего пользования в целях потребления на коммунально-бытовые нужды граждан и не используемого для осуществления коммерческой (профессиональной) деятельности;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 xml:space="preserve">- 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юридические лица, в части приобретения объема электрической энергии (мощности) в целях потребления осужденными в помещениях для их содержания, при условии наличия раздельного учета для указанных помещений;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- юридические и физические лица, в части приобретаемого объема электрической энергии (мощности) в целях потребления на коммунально-бытовые нужды в населенных пунктах, жилых зонах при воинских частях, рассчитывающихся по договору энергоснабжения (купли-продажи) по общему счетчику;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- содержащиеся за счет прихожан религиозные организации;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 xml:space="preserve">- </w:t>
      </w:r>
      <w:proofErr w:type="gram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гарантирующие поставщики, </w:t>
      </w:r>
      <w:proofErr w:type="spell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энергосбытовые</w:t>
      </w:r>
      <w:proofErr w:type="spell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энергоснабжающие</w:t>
      </w:r>
      <w:proofErr w:type="spell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организации, приобретающие электрическую энергию (мощность) в целях дальнейшей продажи населению и приравненным к нему категориям потребителей, в объемах фактического потребления населения и приравненных к нему категорий потребителей, и объемах электроэнергии, израсходованной на места общего пользования в целях потребления на коммунально-бытовые нужды граждан и не используемого для осуществления коммерческой (профессиональной) деятельности;</w:t>
      </w:r>
      <w:proofErr w:type="gramEnd"/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- хозяйственные постройки физических лиц (погреба, сараи и иные сооружения аналогичного назначения).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4. К потребителям, приравненным к населению, проживающему в городских населенных пунктах в домах, оборудованных в установленном порядке стационарными электроплитами и (или) электроотопительными установками, применяются тарифы на электрическую энергию в соответствии с пунктом 1.2 Приложения к настоящему постановлению. </w:t>
      </w:r>
      <w:r w:rsidRPr="004617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5. К потребителям, приравненным к населению, проживающему в сельских населенных пунктах, применяются тарифы на электрическую энергию в соответствии с пунктом 1.3 Приложения к настоящему постановлению. 6. Оплата электрической энергии лицами, имеющими право на льготы, производится в порядке, установленном в соответствии с действующим законодательством.</w:t>
      </w:r>
    </w:p>
    <w:p w:rsidR="004617C4" w:rsidRPr="004617C4" w:rsidRDefault="004617C4" w:rsidP="004617C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617C4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Постановление от «17» декабря 2012 г. № 146 г. Курск</w:t>
      </w:r>
      <w:proofErr w:type="gramStart"/>
      <w:r w:rsidRPr="004617C4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 О</w:t>
      </w:r>
      <w:proofErr w:type="gramEnd"/>
      <w:r w:rsidRPr="004617C4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 тарифах на электрическую энергию, отпускаемую гарантирующими </w:t>
      </w:r>
      <w:proofErr w:type="spellStart"/>
      <w:r w:rsidRPr="004617C4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поставщи-ками</w:t>
      </w:r>
      <w:proofErr w:type="spellEnd"/>
      <w:r w:rsidRPr="004617C4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 и </w:t>
      </w:r>
      <w:proofErr w:type="spellStart"/>
      <w:r w:rsidRPr="004617C4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энергосбытовыми</w:t>
      </w:r>
      <w:proofErr w:type="spellEnd"/>
      <w:r w:rsidRPr="004617C4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 компаниями для населения и потребителей, приравненных к категории население, по Курской области на 2013 год</w:t>
      </w:r>
    </w:p>
    <w:p w:rsidR="004617C4" w:rsidRPr="004617C4" w:rsidRDefault="004617C4" w:rsidP="004617C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617C4"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eastAsia="ru-RU"/>
        </w:rPr>
        <w:t>2013 год - тарифы на электрическую энергию для населения Курской области</w:t>
      </w:r>
    </w:p>
    <w:p w:rsidR="00311F1A" w:rsidRPr="004617C4" w:rsidRDefault="004617C4">
      <w:pPr>
        <w:rPr>
          <w:rFonts w:ascii="Times New Roman" w:hAnsi="Times New Roman"/>
          <w:sz w:val="24"/>
          <w:szCs w:val="24"/>
        </w:rPr>
      </w:pPr>
    </w:p>
    <w:sectPr w:rsidR="00311F1A" w:rsidRPr="004617C4" w:rsidSect="004617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7C4"/>
    <w:rsid w:val="00144B67"/>
    <w:rsid w:val="004617C4"/>
    <w:rsid w:val="004B7599"/>
    <w:rsid w:val="00B21B49"/>
    <w:rsid w:val="00C1529C"/>
    <w:rsid w:val="00F2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152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152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C1529C"/>
    <w:rPr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4617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617C4"/>
    <w:rPr>
      <w:b/>
      <w:bCs/>
    </w:rPr>
  </w:style>
  <w:style w:type="character" w:customStyle="1" w:styleId="apple-converted-space">
    <w:name w:val="apple-converted-space"/>
    <w:basedOn w:val="a0"/>
    <w:rsid w:val="004617C4"/>
  </w:style>
  <w:style w:type="character" w:styleId="a6">
    <w:name w:val="Emphasis"/>
    <w:basedOn w:val="a0"/>
    <w:uiPriority w:val="20"/>
    <w:qFormat/>
    <w:rsid w:val="004617C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1243</Words>
  <Characters>7090</Characters>
  <Application>Microsoft Office Word</Application>
  <DocSecurity>0</DocSecurity>
  <Lines>59</Lines>
  <Paragraphs>16</Paragraphs>
  <ScaleCrop>false</ScaleCrop>
  <Company/>
  <LinksUpToDate>false</LinksUpToDate>
  <CharactersWithSpaces>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253</dc:creator>
  <cp:keywords/>
  <dc:description/>
  <cp:lastModifiedBy>253</cp:lastModifiedBy>
  <cp:revision>1</cp:revision>
  <dcterms:created xsi:type="dcterms:W3CDTF">2013-07-10T04:51:00Z</dcterms:created>
  <dcterms:modified xsi:type="dcterms:W3CDTF">2013-07-10T04:53:00Z</dcterms:modified>
</cp:coreProperties>
</file>